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仿宋"/>
          <w:b/>
          <w:bCs/>
          <w:sz w:val="32"/>
          <w:szCs w:val="32"/>
        </w:rPr>
        <w:sectPr>
          <w:headerReference r:id="rId3" w:type="default"/>
          <w:footerReference r:id="rId4" w:type="default"/>
          <w:pgSz w:w="11906" w:h="16838"/>
          <w:pgMar w:top="1440" w:right="1286" w:bottom="1440" w:left="1620" w:header="851" w:footer="992" w:gutter="0"/>
          <w:pgNumType w:fmt="numberInDash" w:start="1"/>
          <w:cols w:space="720" w:num="1"/>
          <w:docGrid w:type="lines" w:linePitch="312" w:charSpace="0"/>
        </w:sectPr>
      </w:pPr>
      <w:bookmarkStart w:id="0" w:name="_GoBack"/>
      <w:bookmarkEnd w:id="0"/>
    </w:p>
    <w:p>
      <w:pPr>
        <w:jc w:val="center"/>
        <w:rPr>
          <w:rFonts w:ascii="宋体" w:hAnsi="宋体" w:cs="宋体"/>
          <w:sz w:val="44"/>
          <w:szCs w:val="44"/>
        </w:rPr>
      </w:pPr>
      <w:r>
        <w:rPr>
          <w:rFonts w:hint="eastAsia" w:ascii="宋体" w:hAnsi="宋体" w:cs="宋体"/>
          <w:sz w:val="44"/>
          <w:szCs w:val="44"/>
        </w:rPr>
        <w:t>安徽审计职业学院教学督导实施办法</w:t>
      </w:r>
    </w:p>
    <w:p>
      <w:pPr>
        <w:spacing w:line="560" w:lineRule="exact"/>
        <w:ind w:firstLine="643" w:firstLineChars="200"/>
        <w:rPr>
          <w:rFonts w:ascii="仿宋" w:hAnsi="仿宋" w:eastAsia="仿宋" w:cs="仿宋"/>
          <w:b/>
          <w:bCs/>
          <w:sz w:val="32"/>
          <w:szCs w:val="32"/>
        </w:rPr>
      </w:pP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为进一步强化学院教学管理和教学质量监控，建立健全学院教学质量保证体系，加强校风、学风和教风建设，根据学院教育教学工作实际，制定本办法。</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各学年所有承担教学任务的教师均应接受教学督导。学院教学督导工作由教务处统筹管理，教务处负责成立学院教学督导组，开展教学督导工作。</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 xml:space="preserve"> 教学督导组及人员组成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1.按系部成立若干教学督导小组，每个小组由3名成员组成，其中1名为督导小组组长。每个教学督导小组负责1个教学系部的教学督导工作。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教学督导小组成员由热爱教育工作、教学经验丰富、身体健康、责任心强、坚持原则的校内外教师（含退休教师）担任，其中校内教师占三分之一，校内由教研室主任、专业带头人或具有副高以上专业技术职务的专任教师和退休教师担任，校外由副高及以上专业技术职称的专家担任。教学督导组成员需坚持回避制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3.每学年由教务处根据教学督导工作需要拟定人员名单，报分管院领导审定后执行。</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教学督导组工作职责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对全院所有课程教学的各个环节进行全面的监督检查，重点检查课程的教学大纲、教学计划与实施、教材选用，抽查教案、作业、试卷、毕业论文、辅导答疑等。评价学院人才培养方案和教学计划的执行情况，检查是否存在意识形态问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深入课堂，监督检查教学秩序，对教师的课堂教学进行听课检查与指导。听课作为教学督导重要内容，3位专家同时进入课堂完整听1节课，并与师生就课程教与学情况进行座谈交流，了解学生的学习状况和意见建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3.从注重师德师风、课堂纪律、教学效果、教书育人等教师工作规范方面引导青年教师从严执教，提高青年教师的教学能力和教学水平。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4.通过检查调研，对学院的专业建设、学科建设、课程建设等提出意见和建议；对教学工作中的难点、热点问题进行深入调查，为学院推广先进的教学经验和成果提出书面意见和调研报告。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5.加强特殊时期线上教学的督查工作，探索线上教学督导新思想，保障线上线下教学同质等效。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6.认真、如实填写《安徽审计职业学院教学督导评价表》，并在规定时间内将相关教学督导资料提交教务处，同时对教学中存在的问题提出意见与改进措施。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7.完成学院交办的其他工作。</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教学督导评价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1.教学督导评价为综合性评价。教学督导小组根据工作职责，结合督导情况，对被教学督导教师进行综合评分。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2.教学督导评价分值正常区间在80-90分。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被督导教师的课堂教学体现职业教育理念，在师德师风、教学态度、教学内容、教学方法、教学效果等方面表现优异，无意识形态问题，学生出勤率为满勤，教学资料齐全，课堂教学有互动，评分可在90分以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4.教学督导小组发现被督导教师教学中存在意识形态问题的，经核实，评分为零。并在《学院教学督导评价表》“评价与建议”栏中做详实记录。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5.教学督导小组在遇到空堂情况，经核实，根据实情做不同处理：教师预先办理完毕调停课手续的，可安排补教学督导1次；无手续的，评分为零，本学年内不予再补教学督导，并作为教学事故另行处理。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6.只承担学年第1学期教学任务而教学督导小组因客观原因没有及时对其开展教学督导的教师，其学年教学督导评价结果按其教学业务身份归属所在系部其他教师该学年教学督导平均成绩予以赋分。</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教学督导结果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1.教学督导评价结果是教师教学业务量化考核的重要依据。</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2.教学督导评价结果由教务处负责整理与分类，将教学督导结果反馈给系部，各系部针对教学督导中存在的问题，举一反三，整改到位。</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 xml:space="preserve"> 教学督导工作量核算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1.学年结束后，教务处负责对教学督导组成员的教学督导工作量进行核算，并以督导计划以及督导记录作为核算依据，同时将核算结果报院领导审批。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教学督导组成员承担教学督导工作按照不同人员分别核算其教学督导工作量，校内教学督导员按照实际督导学时核算其工作量，即每督导1节课折算为1个课时教学工作量，并计入督导员该学期总教学工作量；学院退休教师和校外专家担任督导员的，按照学院外聘教师高级专业技术职称教师课酬标准平均数计酬，即100元/课时的标准计酬。</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3.教学督导组成员承担学院布置的其他专项工作另行核算其工作量。</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第八条 </w:t>
      </w:r>
      <w:r>
        <w:rPr>
          <w:rFonts w:hint="eastAsia" w:ascii="仿宋" w:hAnsi="仿宋" w:eastAsia="仿宋" w:cs="仿宋"/>
          <w:sz w:val="32"/>
          <w:szCs w:val="32"/>
        </w:rPr>
        <w:t xml:space="preserve"> 附则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1.本办法由教务处负责解释。</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2.本办法自2021-2022学年起施行，原《安徽审计职业学院教学督导实施办法》（皖审院2019〔11〕号）同时废止。</w:t>
      </w:r>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附件：安徽审计职业学院教学督导评价表</w:t>
      </w:r>
    </w:p>
    <w:p>
      <w:pPr>
        <w:spacing w:line="560" w:lineRule="atLeast"/>
        <w:jc w:val="center"/>
        <w:rPr>
          <w:rFonts w:ascii="宋体" w:hAnsi="宋体" w:cs="宋体"/>
          <w:sz w:val="36"/>
          <w:szCs w:val="36"/>
        </w:rPr>
      </w:pPr>
      <w:r>
        <w:rPr>
          <w:rFonts w:ascii="仿宋" w:hAnsi="仿宋" w:eastAsia="仿宋" w:cs="仿宋"/>
          <w:sz w:val="32"/>
          <w:szCs w:val="32"/>
        </w:rPr>
        <w:br w:type="page"/>
      </w:r>
      <w:r>
        <w:rPr>
          <w:rFonts w:hint="eastAsia" w:ascii="宋体" w:hAnsi="宋体" w:cs="宋体"/>
          <w:sz w:val="36"/>
          <w:szCs w:val="36"/>
        </w:rPr>
        <w:t>安徽审计职业学院教学督导评价表</w:t>
      </w:r>
    </w:p>
    <w:tbl>
      <w:tblPr>
        <w:tblStyle w:val="4"/>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065"/>
        <w:gridCol w:w="872"/>
        <w:gridCol w:w="1560"/>
        <w:gridCol w:w="1559"/>
        <w:gridCol w:w="777"/>
        <w:gridCol w:w="78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77" w:type="dxa"/>
            <w:vMerge w:val="restart"/>
            <w:vAlign w:val="center"/>
          </w:tcPr>
          <w:p>
            <w:pPr>
              <w:jc w:val="center"/>
              <w:rPr>
                <w:rFonts w:ascii="宋体" w:hAnsi="宋体" w:cs="宋体"/>
                <w:color w:val="000000"/>
                <w:kern w:val="0"/>
                <w:szCs w:val="21"/>
              </w:rPr>
            </w:pPr>
            <w:r>
              <w:rPr>
                <w:rFonts w:hint="eastAsia" w:ascii="宋体" w:hAnsi="宋体" w:cs="宋体"/>
                <w:szCs w:val="21"/>
              </w:rPr>
              <w:t>学院系部</w:t>
            </w:r>
          </w:p>
        </w:tc>
        <w:tc>
          <w:tcPr>
            <w:tcW w:w="1937" w:type="dxa"/>
            <w:gridSpan w:val="2"/>
            <w:vMerge w:val="restart"/>
            <w:vAlign w:val="center"/>
          </w:tcPr>
          <w:p>
            <w:pPr>
              <w:jc w:val="center"/>
              <w:rPr>
                <w:rFonts w:ascii="宋体" w:hAnsi="宋体" w:cs="宋体"/>
                <w:color w:val="000000"/>
                <w:kern w:val="0"/>
                <w:szCs w:val="21"/>
              </w:rPr>
            </w:pPr>
          </w:p>
        </w:tc>
        <w:tc>
          <w:tcPr>
            <w:tcW w:w="1560" w:type="dxa"/>
            <w:vMerge w:val="restart"/>
            <w:vAlign w:val="center"/>
          </w:tcPr>
          <w:p>
            <w:pPr>
              <w:jc w:val="center"/>
              <w:rPr>
                <w:rFonts w:ascii="宋体" w:hAnsi="宋体" w:cs="宋体"/>
                <w:color w:val="000000"/>
                <w:kern w:val="0"/>
                <w:szCs w:val="21"/>
              </w:rPr>
            </w:pPr>
            <w:r>
              <w:rPr>
                <w:rFonts w:hint="eastAsia" w:ascii="宋体" w:hAnsi="宋体" w:cs="宋体"/>
                <w:szCs w:val="21"/>
              </w:rPr>
              <w:t>授课教师</w:t>
            </w:r>
          </w:p>
        </w:tc>
        <w:tc>
          <w:tcPr>
            <w:tcW w:w="1559" w:type="dxa"/>
            <w:vMerge w:val="restart"/>
            <w:vAlign w:val="center"/>
          </w:tcPr>
          <w:p>
            <w:pPr>
              <w:jc w:val="center"/>
              <w:rPr>
                <w:rFonts w:ascii="宋体" w:hAnsi="宋体" w:cs="宋体"/>
                <w:color w:val="000000"/>
                <w:kern w:val="0"/>
                <w:szCs w:val="21"/>
              </w:rPr>
            </w:pPr>
          </w:p>
        </w:tc>
        <w:tc>
          <w:tcPr>
            <w:tcW w:w="1558" w:type="dxa"/>
            <w:gridSpan w:val="2"/>
            <w:vMerge w:val="restart"/>
            <w:vAlign w:val="center"/>
          </w:tcPr>
          <w:p>
            <w:pPr>
              <w:jc w:val="center"/>
              <w:rPr>
                <w:rFonts w:ascii="宋体" w:hAnsi="宋体" w:cs="宋体"/>
                <w:color w:val="000000"/>
                <w:kern w:val="0"/>
                <w:szCs w:val="21"/>
              </w:rPr>
            </w:pPr>
            <w:r>
              <w:rPr>
                <w:rFonts w:hint="eastAsia" w:ascii="宋体" w:hAnsi="宋体" w:cs="宋体"/>
                <w:color w:val="000000"/>
                <w:kern w:val="0"/>
                <w:szCs w:val="21"/>
              </w:rPr>
              <w:t>授课教师</w:t>
            </w:r>
          </w:p>
          <w:p>
            <w:pPr>
              <w:jc w:val="center"/>
              <w:rPr>
                <w:rFonts w:ascii="宋体" w:hAnsi="宋体" w:cs="宋体"/>
                <w:color w:val="000000"/>
                <w:kern w:val="0"/>
                <w:szCs w:val="21"/>
              </w:rPr>
            </w:pPr>
            <w:r>
              <w:rPr>
                <w:rFonts w:hint="eastAsia" w:ascii="宋体" w:hAnsi="宋体" w:cs="宋体"/>
                <w:color w:val="000000"/>
                <w:kern w:val="0"/>
                <w:szCs w:val="21"/>
              </w:rPr>
              <w:t>属  性</w:t>
            </w:r>
          </w:p>
        </w:tc>
        <w:tc>
          <w:tcPr>
            <w:tcW w:w="1560" w:type="dxa"/>
            <w:vAlign w:val="center"/>
          </w:tcPr>
          <w:p>
            <w:pPr>
              <w:jc w:val="center"/>
              <w:rPr>
                <w:rFonts w:ascii="宋体" w:hAnsi="宋体" w:cs="宋体"/>
                <w:color w:val="000000"/>
                <w:kern w:val="0"/>
                <w:szCs w:val="21"/>
              </w:rPr>
            </w:pPr>
            <w:r>
              <w:rPr>
                <w:rFonts w:hint="eastAsia" w:ascii="宋体" w:hAnsi="宋体" w:cs="宋体"/>
                <w:color w:val="000000"/>
                <w:kern w:val="0"/>
                <w:szCs w:val="21"/>
              </w:rPr>
              <w:sym w:font="Wingdings 2" w:char="00A3"/>
            </w:r>
            <w:r>
              <w:rPr>
                <w:rFonts w:hint="eastAsia" w:ascii="宋体" w:hAnsi="宋体" w:cs="宋体"/>
                <w:color w:val="000000"/>
                <w:kern w:val="0"/>
                <w:szCs w:val="21"/>
              </w:rPr>
              <w:t xml:space="preserve"> 校内教师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177" w:type="dxa"/>
            <w:vMerge w:val="continue"/>
            <w:vAlign w:val="center"/>
          </w:tcPr>
          <w:p>
            <w:pPr>
              <w:jc w:val="center"/>
              <w:rPr>
                <w:rFonts w:ascii="宋体" w:hAnsi="宋体" w:cs="宋体"/>
                <w:szCs w:val="21"/>
              </w:rPr>
            </w:pPr>
          </w:p>
        </w:tc>
        <w:tc>
          <w:tcPr>
            <w:tcW w:w="1937" w:type="dxa"/>
            <w:gridSpan w:val="2"/>
            <w:vMerge w:val="continue"/>
            <w:vAlign w:val="center"/>
          </w:tcPr>
          <w:p>
            <w:pPr>
              <w:jc w:val="center"/>
              <w:rPr>
                <w:rFonts w:ascii="宋体" w:hAnsi="宋体" w:cs="宋体"/>
                <w:color w:val="000000"/>
                <w:kern w:val="0"/>
                <w:szCs w:val="21"/>
              </w:rPr>
            </w:pPr>
          </w:p>
        </w:tc>
        <w:tc>
          <w:tcPr>
            <w:tcW w:w="1560" w:type="dxa"/>
            <w:vMerge w:val="continue"/>
            <w:vAlign w:val="center"/>
          </w:tcPr>
          <w:p>
            <w:pPr>
              <w:jc w:val="center"/>
              <w:rPr>
                <w:rFonts w:ascii="宋体" w:hAnsi="宋体" w:cs="宋体"/>
                <w:szCs w:val="21"/>
              </w:rPr>
            </w:pPr>
          </w:p>
        </w:tc>
        <w:tc>
          <w:tcPr>
            <w:tcW w:w="1559" w:type="dxa"/>
            <w:vMerge w:val="continue"/>
            <w:vAlign w:val="center"/>
          </w:tcPr>
          <w:p>
            <w:pPr>
              <w:jc w:val="center"/>
              <w:rPr>
                <w:rFonts w:ascii="宋体" w:hAnsi="宋体" w:cs="宋体"/>
                <w:color w:val="000000"/>
                <w:kern w:val="0"/>
                <w:szCs w:val="21"/>
              </w:rPr>
            </w:pPr>
          </w:p>
        </w:tc>
        <w:tc>
          <w:tcPr>
            <w:tcW w:w="1558" w:type="dxa"/>
            <w:gridSpan w:val="2"/>
            <w:vMerge w:val="continue"/>
            <w:vAlign w:val="center"/>
          </w:tcPr>
          <w:p>
            <w:pPr>
              <w:jc w:val="center"/>
              <w:rPr>
                <w:rFonts w:ascii="宋体" w:hAnsi="宋体" w:cs="宋体"/>
                <w:color w:val="000000"/>
                <w:kern w:val="0"/>
                <w:szCs w:val="21"/>
              </w:rPr>
            </w:pPr>
          </w:p>
        </w:tc>
        <w:tc>
          <w:tcPr>
            <w:tcW w:w="1560" w:type="dxa"/>
            <w:vAlign w:val="center"/>
          </w:tcPr>
          <w:p>
            <w:pPr>
              <w:jc w:val="center"/>
              <w:rPr>
                <w:rFonts w:ascii="宋体" w:hAnsi="宋体" w:cs="宋体"/>
                <w:color w:val="000000"/>
                <w:kern w:val="0"/>
                <w:szCs w:val="21"/>
              </w:rPr>
            </w:pPr>
            <w:r>
              <w:rPr>
                <w:rFonts w:hint="eastAsia" w:ascii="宋体" w:hAnsi="宋体" w:cs="宋体"/>
                <w:color w:val="000000"/>
                <w:kern w:val="0"/>
                <w:szCs w:val="21"/>
              </w:rPr>
              <w:sym w:font="Wingdings 2" w:char="00A3"/>
            </w:r>
            <w:r>
              <w:rPr>
                <w:rFonts w:hint="eastAsia" w:ascii="宋体" w:hAnsi="宋体" w:cs="宋体"/>
                <w:color w:val="000000"/>
                <w:kern w:val="0"/>
                <w:szCs w:val="21"/>
              </w:rPr>
              <w:t xml:space="preserve"> 外聘教师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77" w:type="dxa"/>
            <w:vAlign w:val="center"/>
          </w:tcPr>
          <w:p>
            <w:pPr>
              <w:jc w:val="center"/>
              <w:rPr>
                <w:rFonts w:ascii="宋体" w:hAnsi="宋体" w:cs="宋体"/>
                <w:szCs w:val="21"/>
              </w:rPr>
            </w:pPr>
            <w:r>
              <w:rPr>
                <w:rFonts w:hint="eastAsia" w:ascii="宋体" w:hAnsi="宋体" w:cs="宋体"/>
                <w:szCs w:val="21"/>
              </w:rPr>
              <w:t>授课时间</w:t>
            </w:r>
          </w:p>
        </w:tc>
        <w:tc>
          <w:tcPr>
            <w:tcW w:w="5056" w:type="dxa"/>
            <w:gridSpan w:val="4"/>
            <w:vAlign w:val="center"/>
          </w:tcPr>
          <w:p>
            <w:pPr>
              <w:jc w:val="center"/>
              <w:rPr>
                <w:rFonts w:ascii="宋体" w:hAnsi="宋体" w:cs="宋体"/>
                <w:szCs w:val="21"/>
              </w:rPr>
            </w:pPr>
            <w:r>
              <w:rPr>
                <w:rFonts w:hint="eastAsia" w:ascii="宋体" w:hAnsi="宋体" w:cs="宋体"/>
                <w:szCs w:val="21"/>
              </w:rPr>
              <w:t xml:space="preserve">  年     月     日      第     节</w:t>
            </w:r>
          </w:p>
        </w:tc>
        <w:tc>
          <w:tcPr>
            <w:tcW w:w="1558" w:type="dxa"/>
            <w:gridSpan w:val="2"/>
            <w:vAlign w:val="center"/>
          </w:tcPr>
          <w:p>
            <w:pPr>
              <w:jc w:val="center"/>
              <w:rPr>
                <w:rFonts w:ascii="宋体" w:hAnsi="宋体" w:cs="宋体"/>
                <w:szCs w:val="21"/>
              </w:rPr>
            </w:pPr>
            <w:r>
              <w:rPr>
                <w:rFonts w:hint="eastAsia" w:ascii="宋体" w:hAnsi="宋体" w:cs="宋体"/>
                <w:szCs w:val="21"/>
              </w:rPr>
              <w:t>授课场所</w:t>
            </w:r>
          </w:p>
        </w:tc>
        <w:tc>
          <w:tcPr>
            <w:tcW w:w="156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77" w:type="dxa"/>
            <w:vAlign w:val="center"/>
          </w:tcPr>
          <w:p>
            <w:pPr>
              <w:jc w:val="center"/>
              <w:rPr>
                <w:rFonts w:ascii="宋体" w:hAnsi="宋体" w:cs="宋体"/>
                <w:szCs w:val="21"/>
              </w:rPr>
            </w:pPr>
            <w:r>
              <w:rPr>
                <w:rFonts w:hint="eastAsia" w:ascii="宋体" w:hAnsi="宋体" w:cs="宋体"/>
                <w:szCs w:val="21"/>
              </w:rPr>
              <w:t>授课班级</w:t>
            </w:r>
          </w:p>
        </w:tc>
        <w:tc>
          <w:tcPr>
            <w:tcW w:w="1937" w:type="dxa"/>
            <w:gridSpan w:val="2"/>
            <w:vAlign w:val="center"/>
          </w:tcPr>
          <w:p>
            <w:pPr>
              <w:jc w:val="center"/>
              <w:rPr>
                <w:rFonts w:ascii="宋体" w:hAnsi="宋体" w:cs="宋体"/>
                <w:szCs w:val="21"/>
              </w:rPr>
            </w:pPr>
            <w:r>
              <w:rPr>
                <w:rFonts w:hint="eastAsia" w:ascii="宋体" w:hAnsi="宋体" w:cs="宋体"/>
                <w:szCs w:val="21"/>
              </w:rPr>
              <w:t xml:space="preserve"> </w:t>
            </w:r>
          </w:p>
        </w:tc>
        <w:tc>
          <w:tcPr>
            <w:tcW w:w="1560" w:type="dxa"/>
            <w:vAlign w:val="center"/>
          </w:tcPr>
          <w:p>
            <w:pPr>
              <w:jc w:val="center"/>
              <w:rPr>
                <w:rFonts w:ascii="宋体" w:hAnsi="宋体" w:cs="宋体"/>
                <w:szCs w:val="21"/>
              </w:rPr>
            </w:pPr>
            <w:r>
              <w:rPr>
                <w:rFonts w:hint="eastAsia" w:ascii="宋体" w:hAnsi="宋体" w:cs="宋体"/>
                <w:szCs w:val="21"/>
              </w:rPr>
              <w:t>学生应到人数</w:t>
            </w:r>
          </w:p>
        </w:tc>
        <w:tc>
          <w:tcPr>
            <w:tcW w:w="1559" w:type="dxa"/>
            <w:vAlign w:val="center"/>
          </w:tcPr>
          <w:p>
            <w:pPr>
              <w:jc w:val="center"/>
              <w:rPr>
                <w:rFonts w:ascii="宋体" w:hAnsi="宋体" w:cs="宋体"/>
                <w:szCs w:val="21"/>
              </w:rPr>
            </w:pPr>
          </w:p>
        </w:tc>
        <w:tc>
          <w:tcPr>
            <w:tcW w:w="1558" w:type="dxa"/>
            <w:gridSpan w:val="2"/>
            <w:vAlign w:val="center"/>
          </w:tcPr>
          <w:p>
            <w:pPr>
              <w:jc w:val="center"/>
              <w:rPr>
                <w:rFonts w:ascii="宋体" w:hAnsi="宋体" w:cs="宋体"/>
                <w:szCs w:val="21"/>
              </w:rPr>
            </w:pPr>
            <w:r>
              <w:rPr>
                <w:rFonts w:hint="eastAsia" w:ascii="宋体" w:hAnsi="宋体" w:cs="宋体"/>
                <w:szCs w:val="21"/>
              </w:rPr>
              <w:t xml:space="preserve">学生实到人数  </w:t>
            </w:r>
          </w:p>
        </w:tc>
        <w:tc>
          <w:tcPr>
            <w:tcW w:w="156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77" w:type="dxa"/>
            <w:vAlign w:val="center"/>
          </w:tcPr>
          <w:p>
            <w:pPr>
              <w:jc w:val="center"/>
              <w:rPr>
                <w:rFonts w:ascii="宋体" w:hAnsi="宋体" w:cs="宋体"/>
                <w:szCs w:val="21"/>
              </w:rPr>
            </w:pPr>
            <w:r>
              <w:rPr>
                <w:rFonts w:hint="eastAsia" w:ascii="宋体" w:hAnsi="宋体" w:cs="宋体"/>
                <w:szCs w:val="21"/>
              </w:rPr>
              <w:t>课程名称</w:t>
            </w:r>
          </w:p>
        </w:tc>
        <w:tc>
          <w:tcPr>
            <w:tcW w:w="3497" w:type="dxa"/>
            <w:gridSpan w:val="3"/>
            <w:vAlign w:val="center"/>
          </w:tcPr>
          <w:p>
            <w:pPr>
              <w:jc w:val="center"/>
              <w:rPr>
                <w:rFonts w:ascii="宋体" w:hAnsi="宋体" w:cs="宋体"/>
                <w:szCs w:val="21"/>
              </w:rPr>
            </w:pPr>
          </w:p>
        </w:tc>
        <w:tc>
          <w:tcPr>
            <w:tcW w:w="1559" w:type="dxa"/>
            <w:vAlign w:val="center"/>
          </w:tcPr>
          <w:p>
            <w:pPr>
              <w:jc w:val="center"/>
              <w:rPr>
                <w:rFonts w:ascii="宋体" w:hAnsi="宋体" w:cs="宋体"/>
                <w:szCs w:val="21"/>
              </w:rPr>
            </w:pPr>
            <w:r>
              <w:rPr>
                <w:rFonts w:hint="eastAsia" w:ascii="宋体" w:hAnsi="宋体" w:cs="宋体"/>
                <w:szCs w:val="21"/>
              </w:rPr>
              <w:t>本节课题</w:t>
            </w:r>
          </w:p>
        </w:tc>
        <w:tc>
          <w:tcPr>
            <w:tcW w:w="3118"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8" w:hRule="atLeast"/>
          <w:jc w:val="center"/>
        </w:trPr>
        <w:tc>
          <w:tcPr>
            <w:tcW w:w="1177" w:type="dxa"/>
            <w:vAlign w:val="center"/>
          </w:tcPr>
          <w:p>
            <w:pPr>
              <w:jc w:val="center"/>
              <w:rPr>
                <w:rFonts w:ascii="宋体" w:hAnsi="宋体" w:cs="宋体"/>
                <w:szCs w:val="21"/>
              </w:rPr>
            </w:pPr>
            <w:r>
              <w:rPr>
                <w:rFonts w:hint="eastAsia" w:ascii="宋体" w:hAnsi="宋体" w:cs="宋体"/>
                <w:szCs w:val="21"/>
              </w:rPr>
              <w:t>主</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要</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授</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课</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内</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容</w:t>
            </w:r>
          </w:p>
        </w:tc>
        <w:tc>
          <w:tcPr>
            <w:tcW w:w="8174" w:type="dxa"/>
            <w:gridSpan w:val="7"/>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177" w:type="dxa"/>
            <w:vAlign w:val="center"/>
          </w:tcPr>
          <w:p>
            <w:pPr>
              <w:jc w:val="center"/>
              <w:rPr>
                <w:rFonts w:ascii="宋体" w:hAnsi="宋体" w:cs="宋体"/>
                <w:color w:val="000000"/>
                <w:kern w:val="0"/>
                <w:szCs w:val="21"/>
              </w:rPr>
            </w:pPr>
            <w:r>
              <w:rPr>
                <w:rFonts w:hint="eastAsia" w:ascii="宋体" w:hAnsi="宋体" w:cs="宋体"/>
                <w:color w:val="000000"/>
                <w:kern w:val="0"/>
                <w:szCs w:val="21"/>
              </w:rPr>
              <w:t>评价指标</w:t>
            </w:r>
          </w:p>
        </w:tc>
        <w:tc>
          <w:tcPr>
            <w:tcW w:w="1065" w:type="dxa"/>
            <w:vAlign w:val="center"/>
          </w:tcPr>
          <w:p>
            <w:pPr>
              <w:jc w:val="center"/>
              <w:rPr>
                <w:rFonts w:ascii="宋体" w:hAnsi="宋体" w:cs="宋体"/>
                <w:color w:val="000000"/>
                <w:kern w:val="0"/>
                <w:szCs w:val="21"/>
              </w:rPr>
            </w:pPr>
            <w:r>
              <w:rPr>
                <w:rFonts w:hint="eastAsia" w:ascii="宋体" w:hAnsi="宋体" w:cs="宋体"/>
                <w:color w:val="000000"/>
                <w:kern w:val="0"/>
                <w:szCs w:val="21"/>
              </w:rPr>
              <w:t>评分权重</w:t>
            </w:r>
          </w:p>
        </w:tc>
        <w:tc>
          <w:tcPr>
            <w:tcW w:w="7109" w:type="dxa"/>
            <w:gridSpan w:val="6"/>
            <w:vAlign w:val="center"/>
          </w:tcPr>
          <w:p>
            <w:pPr>
              <w:jc w:val="center"/>
              <w:rPr>
                <w:rFonts w:ascii="宋体" w:hAnsi="宋体" w:cs="宋体"/>
                <w:szCs w:val="21"/>
              </w:rPr>
            </w:pPr>
            <w:r>
              <w:rPr>
                <w:rFonts w:hint="eastAsia" w:ascii="宋体" w:hAnsi="宋体" w:cs="宋体"/>
                <w:color w:val="000000"/>
                <w:kern w:val="0"/>
                <w:szCs w:val="21"/>
              </w:rPr>
              <w:t>内涵描述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jc w:val="center"/>
              <w:rPr>
                <w:rFonts w:ascii="宋体" w:hAnsi="宋体" w:cs="宋体"/>
                <w:szCs w:val="21"/>
              </w:rPr>
            </w:pPr>
            <w:r>
              <w:rPr>
                <w:rFonts w:hint="eastAsia" w:ascii="宋体" w:hAnsi="宋体" w:cs="宋体"/>
                <w:szCs w:val="21"/>
              </w:rPr>
              <w:t>教学目标</w:t>
            </w:r>
          </w:p>
        </w:tc>
        <w:tc>
          <w:tcPr>
            <w:tcW w:w="1065" w:type="dxa"/>
            <w:vAlign w:val="center"/>
          </w:tcPr>
          <w:p>
            <w:pPr>
              <w:jc w:val="center"/>
              <w:rPr>
                <w:rFonts w:ascii="宋体" w:hAnsi="宋体" w:cs="宋体"/>
                <w:szCs w:val="21"/>
              </w:rPr>
            </w:pPr>
            <w:r>
              <w:rPr>
                <w:rFonts w:hint="eastAsia" w:ascii="宋体" w:hAnsi="宋体" w:cs="宋体"/>
                <w:szCs w:val="21"/>
              </w:rPr>
              <w:t>5</w:t>
            </w:r>
          </w:p>
        </w:tc>
        <w:tc>
          <w:tcPr>
            <w:tcW w:w="7109" w:type="dxa"/>
            <w:gridSpan w:val="6"/>
            <w:vAlign w:val="center"/>
          </w:tcPr>
          <w:p>
            <w:pPr>
              <w:jc w:val="left"/>
              <w:rPr>
                <w:rFonts w:ascii="宋体" w:hAnsi="宋体" w:cs="宋体"/>
                <w:color w:val="000000"/>
                <w:kern w:val="0"/>
                <w:szCs w:val="21"/>
              </w:rPr>
            </w:pPr>
            <w:r>
              <w:rPr>
                <w:rFonts w:hint="eastAsia" w:ascii="宋体" w:hAnsi="宋体" w:cs="宋体"/>
                <w:color w:val="000000"/>
                <w:kern w:val="0"/>
                <w:szCs w:val="21"/>
              </w:rPr>
              <w:t>1.学生清楚学习目标和学习任务；</w:t>
            </w:r>
          </w:p>
          <w:p>
            <w:pPr>
              <w:jc w:val="left"/>
              <w:rPr>
                <w:rFonts w:ascii="宋体" w:hAnsi="宋体" w:cs="宋体"/>
                <w:szCs w:val="21"/>
              </w:rPr>
            </w:pPr>
            <w:r>
              <w:rPr>
                <w:rFonts w:hint="eastAsia" w:ascii="宋体" w:hAnsi="宋体" w:cs="宋体"/>
                <w:color w:val="000000"/>
                <w:kern w:val="0"/>
                <w:szCs w:val="21"/>
              </w:rPr>
              <w:t>2.课程思政指向明确。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77" w:type="dxa"/>
            <w:vAlign w:val="center"/>
          </w:tcPr>
          <w:p>
            <w:pPr>
              <w:jc w:val="center"/>
              <w:rPr>
                <w:rFonts w:ascii="宋体" w:hAnsi="宋体" w:cs="宋体"/>
                <w:szCs w:val="21"/>
              </w:rPr>
            </w:pPr>
            <w:r>
              <w:rPr>
                <w:rFonts w:hint="eastAsia" w:ascii="宋体" w:hAnsi="宋体" w:cs="宋体"/>
                <w:szCs w:val="21"/>
              </w:rPr>
              <w:t>教学资源</w:t>
            </w:r>
          </w:p>
        </w:tc>
        <w:tc>
          <w:tcPr>
            <w:tcW w:w="1065" w:type="dxa"/>
            <w:vAlign w:val="center"/>
          </w:tcPr>
          <w:p>
            <w:pPr>
              <w:jc w:val="center"/>
              <w:rPr>
                <w:rFonts w:ascii="宋体" w:hAnsi="宋体" w:cs="宋体"/>
                <w:szCs w:val="21"/>
              </w:rPr>
            </w:pPr>
            <w:r>
              <w:rPr>
                <w:rFonts w:hint="eastAsia" w:ascii="宋体" w:hAnsi="宋体" w:cs="宋体"/>
                <w:szCs w:val="21"/>
              </w:rPr>
              <w:t>10</w:t>
            </w:r>
          </w:p>
        </w:tc>
        <w:tc>
          <w:tcPr>
            <w:tcW w:w="7109" w:type="dxa"/>
            <w:gridSpan w:val="6"/>
            <w:vAlign w:val="center"/>
          </w:tcPr>
          <w:p>
            <w:pPr>
              <w:jc w:val="left"/>
              <w:rPr>
                <w:rFonts w:ascii="宋体" w:hAnsi="宋体" w:cs="宋体"/>
                <w:color w:val="000000"/>
                <w:kern w:val="0"/>
                <w:szCs w:val="21"/>
              </w:rPr>
            </w:pPr>
            <w:r>
              <w:rPr>
                <w:rFonts w:hint="eastAsia" w:ascii="宋体" w:hAnsi="宋体" w:cs="宋体"/>
                <w:color w:val="000000"/>
                <w:kern w:val="0"/>
                <w:szCs w:val="21"/>
              </w:rPr>
              <w:t>1.课程的教学大纲、教学计划、教材、教案等教学材料齐全，内容无意识形态问题；</w:t>
            </w:r>
          </w:p>
          <w:p>
            <w:pPr>
              <w:jc w:val="left"/>
              <w:rPr>
                <w:rFonts w:ascii="宋体" w:hAnsi="宋体" w:cs="宋体"/>
                <w:color w:val="000000"/>
                <w:kern w:val="0"/>
                <w:szCs w:val="21"/>
              </w:rPr>
            </w:pPr>
            <w:r>
              <w:rPr>
                <w:rFonts w:hint="eastAsia" w:ascii="宋体" w:hAnsi="宋体" w:cs="宋体"/>
                <w:color w:val="000000"/>
                <w:kern w:val="0"/>
                <w:szCs w:val="21"/>
              </w:rPr>
              <w:t>2.选择优质课程资源，课件精美，质量高；</w:t>
            </w:r>
          </w:p>
          <w:p>
            <w:pPr>
              <w:jc w:val="left"/>
              <w:rPr>
                <w:rFonts w:ascii="宋体" w:hAnsi="宋体" w:cs="宋体"/>
                <w:color w:val="000000"/>
                <w:kern w:val="0"/>
                <w:szCs w:val="21"/>
              </w:rPr>
            </w:pPr>
            <w:r>
              <w:rPr>
                <w:rFonts w:hint="eastAsia" w:ascii="宋体" w:hAnsi="宋体" w:cs="宋体"/>
                <w:color w:val="000000"/>
                <w:kern w:val="0"/>
                <w:szCs w:val="21"/>
              </w:rPr>
              <w:t>3.有学科前沿知识，课程内容有拓展、有深化；</w:t>
            </w:r>
          </w:p>
          <w:p>
            <w:pPr>
              <w:jc w:val="left"/>
              <w:rPr>
                <w:rFonts w:ascii="宋体" w:hAnsi="宋体" w:cs="宋体"/>
                <w:color w:val="000000"/>
                <w:kern w:val="0"/>
                <w:szCs w:val="21"/>
              </w:rPr>
            </w:pPr>
            <w:r>
              <w:rPr>
                <w:rFonts w:hint="eastAsia" w:ascii="宋体" w:hAnsi="宋体" w:cs="宋体"/>
                <w:color w:val="000000"/>
                <w:kern w:val="0"/>
                <w:szCs w:val="21"/>
              </w:rPr>
              <w:t>4.学生对教师提供的内容、方法和技术等感觉新鲜，有浓厚兴趣.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jc w:val="center"/>
              <w:rPr>
                <w:rFonts w:ascii="宋体" w:hAnsi="宋体" w:cs="宋体"/>
                <w:szCs w:val="21"/>
              </w:rPr>
            </w:pPr>
            <w:r>
              <w:rPr>
                <w:rFonts w:hint="eastAsia" w:ascii="宋体" w:hAnsi="宋体" w:cs="宋体"/>
                <w:color w:val="000000"/>
                <w:kern w:val="0"/>
                <w:szCs w:val="21"/>
              </w:rPr>
              <w:t>教学过程</w:t>
            </w:r>
          </w:p>
        </w:tc>
        <w:tc>
          <w:tcPr>
            <w:tcW w:w="1065" w:type="dxa"/>
            <w:vAlign w:val="center"/>
          </w:tcPr>
          <w:p>
            <w:pPr>
              <w:jc w:val="center"/>
              <w:rPr>
                <w:rFonts w:ascii="宋体" w:hAnsi="宋体" w:cs="宋体"/>
                <w:szCs w:val="21"/>
              </w:rPr>
            </w:pPr>
            <w:r>
              <w:rPr>
                <w:rFonts w:hint="eastAsia" w:ascii="宋体" w:hAnsi="宋体" w:cs="宋体"/>
                <w:szCs w:val="21"/>
              </w:rPr>
              <w:t>25</w:t>
            </w:r>
          </w:p>
        </w:tc>
        <w:tc>
          <w:tcPr>
            <w:tcW w:w="7109" w:type="dxa"/>
            <w:gridSpan w:val="6"/>
            <w:vAlign w:val="center"/>
          </w:tcPr>
          <w:p>
            <w:pPr>
              <w:jc w:val="left"/>
              <w:rPr>
                <w:rFonts w:ascii="宋体" w:hAnsi="宋体" w:cs="宋体"/>
                <w:color w:val="000000"/>
                <w:kern w:val="0"/>
                <w:szCs w:val="21"/>
              </w:rPr>
            </w:pPr>
            <w:r>
              <w:rPr>
                <w:rFonts w:hint="eastAsia" w:ascii="宋体" w:hAnsi="宋体" w:cs="宋体"/>
                <w:color w:val="000000"/>
                <w:kern w:val="0"/>
                <w:szCs w:val="21"/>
              </w:rPr>
              <w:t>1.提前做好相关设施的准备，按时上课，严格考勤；</w:t>
            </w:r>
          </w:p>
          <w:p>
            <w:pPr>
              <w:jc w:val="left"/>
              <w:rPr>
                <w:rFonts w:ascii="宋体" w:hAnsi="宋体" w:cs="宋体"/>
                <w:color w:val="000000"/>
                <w:kern w:val="0"/>
                <w:szCs w:val="21"/>
              </w:rPr>
            </w:pPr>
            <w:r>
              <w:rPr>
                <w:rFonts w:hint="eastAsia" w:ascii="宋体" w:hAnsi="宋体" w:cs="宋体"/>
                <w:color w:val="000000"/>
                <w:kern w:val="0"/>
                <w:szCs w:val="21"/>
              </w:rPr>
              <w:t>2.按照教学计划和教学目标实施教学，教学进度合理；</w:t>
            </w:r>
          </w:p>
          <w:p>
            <w:pPr>
              <w:jc w:val="left"/>
              <w:rPr>
                <w:rFonts w:ascii="宋体" w:hAnsi="宋体" w:cs="宋体"/>
                <w:color w:val="000000"/>
                <w:kern w:val="0"/>
                <w:szCs w:val="21"/>
              </w:rPr>
            </w:pPr>
            <w:r>
              <w:rPr>
                <w:rFonts w:hint="eastAsia" w:ascii="宋体" w:hAnsi="宋体" w:cs="宋体"/>
                <w:color w:val="000000"/>
                <w:kern w:val="0"/>
                <w:szCs w:val="21"/>
              </w:rPr>
              <w:t>3.教学组织有节奏感，张弛有度，从容不迫；</w:t>
            </w:r>
          </w:p>
          <w:p>
            <w:pPr>
              <w:jc w:val="left"/>
              <w:rPr>
                <w:rFonts w:ascii="宋体" w:hAnsi="宋体" w:cs="宋体"/>
                <w:color w:val="000000"/>
                <w:kern w:val="0"/>
                <w:szCs w:val="21"/>
              </w:rPr>
            </w:pPr>
            <w:r>
              <w:rPr>
                <w:rFonts w:hint="eastAsia" w:ascii="宋体" w:hAnsi="宋体" w:cs="宋体"/>
                <w:color w:val="000000"/>
                <w:kern w:val="0"/>
                <w:szCs w:val="21"/>
              </w:rPr>
              <w:t>4.抽查作业布置、试卷拟制、毕业论文指导、辅导答疑等教学环节；</w:t>
            </w:r>
          </w:p>
          <w:p>
            <w:pPr>
              <w:jc w:val="left"/>
              <w:rPr>
                <w:rFonts w:ascii="宋体" w:hAnsi="宋体" w:cs="宋体"/>
                <w:color w:val="000000"/>
                <w:kern w:val="0"/>
                <w:szCs w:val="21"/>
              </w:rPr>
            </w:pPr>
            <w:r>
              <w:rPr>
                <w:rFonts w:hint="eastAsia" w:ascii="宋体" w:hAnsi="宋体" w:cs="宋体"/>
                <w:color w:val="000000"/>
                <w:kern w:val="0"/>
                <w:szCs w:val="21"/>
              </w:rPr>
              <w:t>5.教学过程无意识形态问题，生动活泼、井然有序；</w:t>
            </w:r>
          </w:p>
          <w:p>
            <w:pPr>
              <w:jc w:val="left"/>
              <w:rPr>
                <w:rFonts w:ascii="宋体" w:hAnsi="宋体" w:cs="宋体"/>
                <w:szCs w:val="21"/>
              </w:rPr>
            </w:pPr>
            <w:r>
              <w:rPr>
                <w:rFonts w:hint="eastAsia" w:ascii="宋体" w:hAnsi="宋体" w:cs="宋体"/>
                <w:color w:val="000000"/>
                <w:kern w:val="0"/>
                <w:szCs w:val="21"/>
              </w:rPr>
              <w:t>6.学生注意力集中，主动参与教学活动，思维活跃，不做与学习无关的事情。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jc w:val="center"/>
              <w:rPr>
                <w:rFonts w:ascii="宋体" w:hAnsi="宋体" w:cs="宋体"/>
                <w:szCs w:val="21"/>
              </w:rPr>
            </w:pPr>
            <w:r>
              <w:rPr>
                <w:rFonts w:hint="eastAsia" w:ascii="宋体" w:hAnsi="宋体" w:cs="宋体"/>
                <w:color w:val="000000"/>
                <w:kern w:val="0"/>
                <w:szCs w:val="21"/>
              </w:rPr>
              <w:t>教学方法</w:t>
            </w:r>
          </w:p>
        </w:tc>
        <w:tc>
          <w:tcPr>
            <w:tcW w:w="1065" w:type="dxa"/>
            <w:vAlign w:val="center"/>
          </w:tcPr>
          <w:p>
            <w:pPr>
              <w:jc w:val="center"/>
              <w:rPr>
                <w:rFonts w:ascii="宋体" w:hAnsi="宋体" w:cs="宋体"/>
                <w:szCs w:val="21"/>
              </w:rPr>
            </w:pPr>
            <w:r>
              <w:rPr>
                <w:rFonts w:hint="eastAsia" w:ascii="宋体" w:hAnsi="宋体" w:cs="宋体"/>
                <w:szCs w:val="21"/>
              </w:rPr>
              <w:t>10</w:t>
            </w:r>
          </w:p>
        </w:tc>
        <w:tc>
          <w:tcPr>
            <w:tcW w:w="7109" w:type="dxa"/>
            <w:gridSpan w:val="6"/>
            <w:vAlign w:val="center"/>
          </w:tcPr>
          <w:p>
            <w:pPr>
              <w:jc w:val="left"/>
              <w:rPr>
                <w:rFonts w:ascii="宋体" w:hAnsi="宋体" w:cs="宋体"/>
                <w:color w:val="FF0000"/>
                <w:kern w:val="0"/>
                <w:szCs w:val="21"/>
              </w:rPr>
            </w:pPr>
            <w:r>
              <w:rPr>
                <w:rFonts w:hint="eastAsia" w:ascii="宋体" w:hAnsi="宋体" w:cs="宋体"/>
                <w:kern w:val="0"/>
                <w:szCs w:val="21"/>
              </w:rPr>
              <w:t>1.备课充分，内容娴熟，讲解透彻；</w:t>
            </w:r>
          </w:p>
          <w:p>
            <w:pPr>
              <w:jc w:val="left"/>
              <w:rPr>
                <w:rFonts w:ascii="宋体" w:hAnsi="宋体" w:cs="宋体"/>
                <w:color w:val="000000"/>
                <w:kern w:val="0"/>
                <w:szCs w:val="21"/>
              </w:rPr>
            </w:pPr>
            <w:r>
              <w:rPr>
                <w:rFonts w:hint="eastAsia" w:ascii="宋体" w:hAnsi="宋体" w:cs="宋体"/>
                <w:color w:val="000000"/>
                <w:kern w:val="0"/>
                <w:szCs w:val="21"/>
              </w:rPr>
              <w:t>2.教法与手段灵活多样，适合教学内容，切合大多数学生，并兼顾差异；</w:t>
            </w:r>
          </w:p>
          <w:p>
            <w:pPr>
              <w:jc w:val="left"/>
              <w:rPr>
                <w:rFonts w:ascii="宋体" w:hAnsi="宋体" w:cs="宋体"/>
                <w:kern w:val="0"/>
                <w:szCs w:val="21"/>
              </w:rPr>
            </w:pPr>
            <w:r>
              <w:rPr>
                <w:rFonts w:hint="eastAsia" w:ascii="宋体" w:hAnsi="宋体" w:cs="宋体"/>
                <w:kern w:val="0"/>
                <w:szCs w:val="21"/>
              </w:rPr>
              <w:t>3.教、学、做一体，重点突出，难点突破；</w:t>
            </w:r>
          </w:p>
          <w:p>
            <w:pPr>
              <w:jc w:val="left"/>
              <w:rPr>
                <w:rFonts w:ascii="宋体" w:hAnsi="宋体" w:cs="宋体"/>
                <w:szCs w:val="21"/>
              </w:rPr>
            </w:pPr>
            <w:r>
              <w:rPr>
                <w:rFonts w:hint="eastAsia" w:ascii="宋体" w:hAnsi="宋体" w:cs="宋体"/>
                <w:color w:val="000000"/>
                <w:kern w:val="0"/>
                <w:szCs w:val="21"/>
              </w:rPr>
              <w:t>4.学生互动积极，反应迅速，互动方式多样，参与人数较多、环节较多，互动具有开放性。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177" w:type="dxa"/>
            <w:vAlign w:val="center"/>
          </w:tcPr>
          <w:p>
            <w:pPr>
              <w:jc w:val="center"/>
              <w:rPr>
                <w:rFonts w:ascii="宋体" w:hAnsi="宋体" w:cs="宋体"/>
                <w:szCs w:val="21"/>
              </w:rPr>
            </w:pPr>
            <w:r>
              <w:rPr>
                <w:rFonts w:hint="eastAsia" w:ascii="宋体" w:hAnsi="宋体" w:cs="宋体"/>
                <w:szCs w:val="21"/>
              </w:rPr>
              <w:t>教学态度</w:t>
            </w:r>
          </w:p>
        </w:tc>
        <w:tc>
          <w:tcPr>
            <w:tcW w:w="1065" w:type="dxa"/>
            <w:vAlign w:val="center"/>
          </w:tcPr>
          <w:p>
            <w:pPr>
              <w:jc w:val="center"/>
              <w:rPr>
                <w:rFonts w:ascii="宋体" w:hAnsi="宋体" w:cs="宋体"/>
                <w:szCs w:val="21"/>
              </w:rPr>
            </w:pPr>
            <w:r>
              <w:rPr>
                <w:rFonts w:hint="eastAsia" w:ascii="宋体" w:hAnsi="宋体" w:cs="宋体"/>
                <w:szCs w:val="21"/>
              </w:rPr>
              <w:t>15</w:t>
            </w:r>
          </w:p>
        </w:tc>
        <w:tc>
          <w:tcPr>
            <w:tcW w:w="7109" w:type="dxa"/>
            <w:gridSpan w:val="6"/>
            <w:vAlign w:val="center"/>
          </w:tcPr>
          <w:p>
            <w:pPr>
              <w:jc w:val="left"/>
              <w:rPr>
                <w:rFonts w:ascii="宋体" w:hAnsi="宋体" w:cs="宋体"/>
                <w:color w:val="000000"/>
                <w:kern w:val="0"/>
                <w:szCs w:val="21"/>
              </w:rPr>
            </w:pPr>
            <w:r>
              <w:rPr>
                <w:rFonts w:hint="eastAsia" w:ascii="宋体" w:hAnsi="宋体" w:cs="宋体"/>
                <w:color w:val="000000"/>
                <w:kern w:val="0"/>
                <w:szCs w:val="21"/>
              </w:rPr>
              <w:t>1.上课不迟到、早退，教学过程中不使用通讯工具；</w:t>
            </w:r>
          </w:p>
          <w:p>
            <w:pPr>
              <w:jc w:val="left"/>
              <w:rPr>
                <w:rFonts w:ascii="宋体" w:hAnsi="宋体" w:cs="宋体"/>
                <w:color w:val="000000"/>
                <w:kern w:val="0"/>
                <w:szCs w:val="21"/>
              </w:rPr>
            </w:pPr>
            <w:r>
              <w:rPr>
                <w:rFonts w:hint="eastAsia" w:ascii="宋体" w:hAnsi="宋体" w:cs="宋体"/>
                <w:color w:val="000000"/>
                <w:kern w:val="0"/>
                <w:szCs w:val="21"/>
              </w:rPr>
              <w:t>2.有责任心，热爱学生，尊重学生，答疑解惑，耐心热情，有亲和力；</w:t>
            </w:r>
          </w:p>
          <w:p>
            <w:pPr>
              <w:jc w:val="left"/>
              <w:rPr>
                <w:rFonts w:ascii="宋体" w:hAnsi="宋体" w:cs="宋体"/>
                <w:color w:val="000000"/>
                <w:kern w:val="0"/>
                <w:szCs w:val="21"/>
              </w:rPr>
            </w:pPr>
            <w:r>
              <w:rPr>
                <w:rFonts w:hint="eastAsia" w:ascii="宋体" w:hAnsi="宋体" w:cs="宋体"/>
                <w:color w:val="000000"/>
                <w:kern w:val="0"/>
                <w:szCs w:val="21"/>
              </w:rPr>
              <w:t>3.学生踊跃发言，获得老师积极回应；</w:t>
            </w:r>
          </w:p>
          <w:p>
            <w:pPr>
              <w:jc w:val="left"/>
              <w:rPr>
                <w:rFonts w:ascii="宋体" w:hAnsi="宋体" w:cs="宋体"/>
                <w:szCs w:val="21"/>
              </w:rPr>
            </w:pPr>
            <w:r>
              <w:rPr>
                <w:rFonts w:hint="eastAsia" w:ascii="宋体" w:hAnsi="宋体" w:cs="宋体"/>
                <w:color w:val="000000"/>
                <w:kern w:val="0"/>
                <w:szCs w:val="21"/>
              </w:rPr>
              <w:t>4.学做用得到教师有效指导，有求知欲和表现欲。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jc w:val="center"/>
              <w:rPr>
                <w:rFonts w:ascii="宋体" w:hAnsi="宋体" w:cs="宋体"/>
                <w:szCs w:val="21"/>
              </w:rPr>
            </w:pPr>
            <w:r>
              <w:rPr>
                <w:rFonts w:hint="eastAsia" w:ascii="宋体" w:hAnsi="宋体" w:cs="宋体"/>
                <w:szCs w:val="21"/>
              </w:rPr>
              <w:t>教学素养</w:t>
            </w:r>
          </w:p>
        </w:tc>
        <w:tc>
          <w:tcPr>
            <w:tcW w:w="1065" w:type="dxa"/>
            <w:vAlign w:val="center"/>
          </w:tcPr>
          <w:p>
            <w:pPr>
              <w:jc w:val="center"/>
              <w:rPr>
                <w:rFonts w:ascii="宋体" w:hAnsi="宋体" w:cs="宋体"/>
                <w:szCs w:val="21"/>
              </w:rPr>
            </w:pPr>
            <w:r>
              <w:rPr>
                <w:rFonts w:hint="eastAsia" w:ascii="宋体" w:hAnsi="宋体" w:cs="宋体"/>
                <w:szCs w:val="21"/>
              </w:rPr>
              <w:t>15</w:t>
            </w:r>
          </w:p>
        </w:tc>
        <w:tc>
          <w:tcPr>
            <w:tcW w:w="7109" w:type="dxa"/>
            <w:gridSpan w:val="6"/>
            <w:vAlign w:val="center"/>
          </w:tcPr>
          <w:p>
            <w:pPr>
              <w:jc w:val="left"/>
              <w:rPr>
                <w:rFonts w:ascii="宋体" w:hAnsi="宋体" w:cs="宋体"/>
                <w:color w:val="000000"/>
                <w:kern w:val="0"/>
                <w:szCs w:val="21"/>
              </w:rPr>
            </w:pPr>
            <w:r>
              <w:rPr>
                <w:rFonts w:hint="eastAsia" w:ascii="宋体" w:hAnsi="宋体" w:cs="宋体"/>
                <w:color w:val="000000"/>
                <w:kern w:val="0"/>
                <w:szCs w:val="21"/>
              </w:rPr>
              <w:t>1.着装得体，精神饱满，教态亲切、仪表大方；</w:t>
            </w:r>
          </w:p>
          <w:p>
            <w:pPr>
              <w:jc w:val="left"/>
              <w:rPr>
                <w:rFonts w:ascii="宋体" w:hAnsi="宋体" w:cs="宋体"/>
                <w:color w:val="000000"/>
                <w:kern w:val="0"/>
                <w:szCs w:val="21"/>
              </w:rPr>
            </w:pPr>
            <w:r>
              <w:rPr>
                <w:rFonts w:hint="eastAsia" w:ascii="宋体" w:hAnsi="宋体" w:cs="宋体"/>
                <w:color w:val="000000"/>
                <w:kern w:val="0"/>
                <w:szCs w:val="21"/>
              </w:rPr>
              <w:t>2.普通话标准、清晰、简洁、流畅，语速适中，声音宏亮，形象生动，富有感染力，板书工整，设计合理；</w:t>
            </w:r>
          </w:p>
          <w:p>
            <w:pPr>
              <w:jc w:val="left"/>
              <w:rPr>
                <w:rFonts w:ascii="宋体" w:hAnsi="宋体" w:cs="宋体"/>
                <w:szCs w:val="21"/>
              </w:rPr>
            </w:pPr>
            <w:r>
              <w:rPr>
                <w:rFonts w:hint="eastAsia" w:ascii="宋体" w:hAnsi="宋体" w:cs="宋体"/>
                <w:color w:val="000000"/>
                <w:kern w:val="0"/>
                <w:szCs w:val="21"/>
              </w:rPr>
              <w:t>3.思维敏捷，思路清晰，富有激情，学生有敬佩感。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7" w:type="dxa"/>
            <w:vAlign w:val="center"/>
          </w:tcPr>
          <w:p>
            <w:pPr>
              <w:jc w:val="center"/>
              <w:rPr>
                <w:rFonts w:ascii="宋体" w:hAnsi="宋体" w:cs="宋体"/>
                <w:szCs w:val="21"/>
              </w:rPr>
            </w:pPr>
            <w:r>
              <w:rPr>
                <w:rFonts w:hint="eastAsia" w:ascii="宋体" w:hAnsi="宋体" w:cs="宋体"/>
                <w:color w:val="000000"/>
                <w:kern w:val="0"/>
                <w:szCs w:val="21"/>
              </w:rPr>
              <w:t>教学效果</w:t>
            </w:r>
          </w:p>
        </w:tc>
        <w:tc>
          <w:tcPr>
            <w:tcW w:w="1065" w:type="dxa"/>
            <w:vAlign w:val="center"/>
          </w:tcPr>
          <w:p>
            <w:pPr>
              <w:jc w:val="center"/>
              <w:rPr>
                <w:rFonts w:ascii="宋体" w:hAnsi="宋体" w:cs="宋体"/>
                <w:szCs w:val="21"/>
              </w:rPr>
            </w:pPr>
            <w:r>
              <w:rPr>
                <w:rFonts w:hint="eastAsia" w:ascii="宋体" w:hAnsi="宋体" w:cs="宋体"/>
                <w:szCs w:val="21"/>
              </w:rPr>
              <w:t>20</w:t>
            </w:r>
          </w:p>
        </w:tc>
        <w:tc>
          <w:tcPr>
            <w:tcW w:w="7109" w:type="dxa"/>
            <w:gridSpan w:val="6"/>
            <w:vAlign w:val="center"/>
          </w:tcPr>
          <w:p>
            <w:pPr>
              <w:jc w:val="left"/>
              <w:rPr>
                <w:rFonts w:ascii="宋体" w:hAnsi="宋体" w:cs="宋体"/>
                <w:color w:val="000000"/>
                <w:kern w:val="0"/>
                <w:szCs w:val="21"/>
              </w:rPr>
            </w:pPr>
            <w:r>
              <w:rPr>
                <w:rFonts w:hint="eastAsia" w:ascii="宋体" w:hAnsi="宋体" w:cs="宋体"/>
                <w:color w:val="000000"/>
                <w:kern w:val="0"/>
                <w:szCs w:val="21"/>
              </w:rPr>
              <w:t>1.较好完成教学目标和教学任务，教学效率高；</w:t>
            </w:r>
          </w:p>
          <w:p>
            <w:pPr>
              <w:jc w:val="left"/>
              <w:rPr>
                <w:rFonts w:ascii="宋体" w:hAnsi="宋体" w:cs="宋体"/>
                <w:color w:val="000000"/>
                <w:kern w:val="0"/>
                <w:szCs w:val="21"/>
              </w:rPr>
            </w:pPr>
            <w:r>
              <w:rPr>
                <w:rFonts w:hint="eastAsia" w:ascii="宋体" w:hAnsi="宋体" w:cs="宋体"/>
                <w:color w:val="000000"/>
                <w:kern w:val="0"/>
                <w:szCs w:val="21"/>
              </w:rPr>
              <w:t>2.师生关系融洽，课堂气氛活跃；</w:t>
            </w:r>
          </w:p>
          <w:p>
            <w:pPr>
              <w:jc w:val="left"/>
              <w:rPr>
                <w:rFonts w:ascii="宋体" w:hAnsi="宋体" w:cs="宋体"/>
                <w:color w:val="000000"/>
                <w:kern w:val="0"/>
                <w:szCs w:val="21"/>
              </w:rPr>
            </w:pPr>
            <w:r>
              <w:rPr>
                <w:rFonts w:hint="eastAsia" w:ascii="宋体" w:hAnsi="宋体" w:cs="宋体"/>
                <w:color w:val="000000"/>
                <w:kern w:val="0"/>
                <w:szCs w:val="21"/>
              </w:rPr>
              <w:t>3.学生主动思考问题，发表观点，展开争论，思路清晰，当堂解决问题好；</w:t>
            </w:r>
          </w:p>
          <w:p>
            <w:pPr>
              <w:jc w:val="left"/>
              <w:rPr>
                <w:rFonts w:ascii="宋体" w:hAnsi="宋体" w:cs="宋体"/>
                <w:szCs w:val="21"/>
              </w:rPr>
            </w:pPr>
            <w:r>
              <w:rPr>
                <w:rFonts w:hint="eastAsia" w:ascii="宋体" w:hAnsi="宋体" w:cs="宋体"/>
                <w:color w:val="000000"/>
                <w:kern w:val="0"/>
                <w:szCs w:val="21"/>
              </w:rPr>
              <w:t>4.学习过程愉悦，学习愿望和自信心有所增强，学生学习获得感和满意度高。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2242" w:type="dxa"/>
            <w:gridSpan w:val="2"/>
            <w:vAlign w:val="center"/>
          </w:tcPr>
          <w:p>
            <w:pPr>
              <w:jc w:val="center"/>
              <w:rPr>
                <w:rFonts w:ascii="宋体" w:hAnsi="宋体" w:cs="宋体"/>
                <w:color w:val="000000"/>
                <w:kern w:val="0"/>
                <w:szCs w:val="21"/>
              </w:rPr>
            </w:pPr>
            <w:r>
              <w:rPr>
                <w:rFonts w:hint="eastAsia" w:ascii="宋体" w:hAnsi="宋体" w:cs="宋体"/>
                <w:color w:val="000000"/>
                <w:kern w:val="0"/>
                <w:szCs w:val="21"/>
              </w:rPr>
              <w:t>督导评价与建议</w:t>
            </w:r>
          </w:p>
        </w:tc>
        <w:tc>
          <w:tcPr>
            <w:tcW w:w="7109" w:type="dxa"/>
            <w:gridSpan w:val="6"/>
            <w:vAlign w:val="center"/>
          </w:tcPr>
          <w:p>
            <w:pPr>
              <w:autoSpaceDE w:val="0"/>
              <w:autoSpaceDN w:val="0"/>
              <w:adjustRightInd w:val="0"/>
              <w:rPr>
                <w:rFonts w:ascii="宋体" w:hAnsi="宋体" w:cs="宋体"/>
                <w:color w:val="000000"/>
                <w:kern w:val="0"/>
                <w:szCs w:val="21"/>
              </w:rPr>
            </w:pPr>
          </w:p>
          <w:p>
            <w:pPr>
              <w:autoSpaceDE w:val="0"/>
              <w:autoSpaceDN w:val="0"/>
              <w:adjustRightInd w:val="0"/>
              <w:rPr>
                <w:rFonts w:ascii="宋体" w:hAnsi="宋体" w:cs="宋体"/>
                <w:color w:val="000000"/>
                <w:kern w:val="0"/>
                <w:szCs w:val="21"/>
              </w:rPr>
            </w:pPr>
          </w:p>
          <w:p>
            <w:pPr>
              <w:autoSpaceDE w:val="0"/>
              <w:autoSpaceDN w:val="0"/>
              <w:adjustRightInd w:val="0"/>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242" w:type="dxa"/>
            <w:gridSpan w:val="2"/>
            <w:vAlign w:val="center"/>
          </w:tcPr>
          <w:p>
            <w:pPr>
              <w:jc w:val="center"/>
              <w:rPr>
                <w:rFonts w:ascii="宋体" w:hAnsi="宋体" w:cs="宋体"/>
                <w:color w:val="000000"/>
                <w:kern w:val="0"/>
                <w:szCs w:val="21"/>
              </w:rPr>
            </w:pPr>
            <w:r>
              <w:rPr>
                <w:rFonts w:hint="eastAsia" w:ascii="宋体" w:hAnsi="宋体" w:cs="宋体"/>
                <w:color w:val="000000"/>
                <w:kern w:val="0"/>
                <w:szCs w:val="21"/>
              </w:rPr>
              <w:t>督导评分</w:t>
            </w:r>
          </w:p>
        </w:tc>
        <w:tc>
          <w:tcPr>
            <w:tcW w:w="2432" w:type="dxa"/>
            <w:gridSpan w:val="2"/>
            <w:vAlign w:val="center"/>
          </w:tcPr>
          <w:p>
            <w:pPr>
              <w:autoSpaceDE w:val="0"/>
              <w:autoSpaceDN w:val="0"/>
              <w:adjustRightInd w:val="0"/>
              <w:rPr>
                <w:rFonts w:ascii="宋体" w:hAnsi="宋体" w:cs="宋体"/>
                <w:color w:val="000000"/>
                <w:kern w:val="0"/>
                <w:szCs w:val="21"/>
              </w:rPr>
            </w:pPr>
          </w:p>
        </w:tc>
        <w:tc>
          <w:tcPr>
            <w:tcW w:w="2336" w:type="dxa"/>
            <w:gridSpan w:val="2"/>
            <w:vAlign w:val="center"/>
          </w:tcPr>
          <w:p>
            <w:pPr>
              <w:autoSpaceDE w:val="0"/>
              <w:autoSpaceDN w:val="0"/>
              <w:adjustRightInd w:val="0"/>
              <w:jc w:val="center"/>
              <w:rPr>
                <w:rFonts w:ascii="宋体" w:hAnsi="宋体" w:cs="宋体"/>
                <w:color w:val="000000"/>
                <w:kern w:val="0"/>
                <w:szCs w:val="21"/>
              </w:rPr>
            </w:pPr>
            <w:r>
              <w:rPr>
                <w:rFonts w:hint="eastAsia" w:ascii="宋体" w:hAnsi="宋体" w:cs="宋体"/>
                <w:color w:val="000000"/>
                <w:kern w:val="0"/>
                <w:szCs w:val="21"/>
              </w:rPr>
              <w:t>教学督导员签名</w:t>
            </w:r>
          </w:p>
        </w:tc>
        <w:tc>
          <w:tcPr>
            <w:tcW w:w="2341" w:type="dxa"/>
            <w:gridSpan w:val="2"/>
            <w:vAlign w:val="center"/>
          </w:tcPr>
          <w:p>
            <w:pPr>
              <w:autoSpaceDE w:val="0"/>
              <w:autoSpaceDN w:val="0"/>
              <w:adjustRightInd w:val="0"/>
              <w:jc w:val="center"/>
              <w:rPr>
                <w:rFonts w:ascii="宋体" w:hAnsi="宋体" w:cs="宋体"/>
                <w:color w:val="000000"/>
                <w:kern w:val="0"/>
                <w:szCs w:val="21"/>
              </w:rPr>
            </w:pPr>
          </w:p>
        </w:tc>
      </w:tr>
    </w:tbl>
    <w:p>
      <w:pPr>
        <w:spacing w:line="560" w:lineRule="atLeast"/>
        <w:rPr>
          <w:rFonts w:ascii="仿宋" w:hAnsi="仿宋" w:eastAsia="仿宋" w:cs="仿宋"/>
          <w:sz w:val="32"/>
          <w:szCs w:val="32"/>
        </w:rPr>
      </w:pPr>
    </w:p>
    <w:p>
      <w:pPr>
        <w:spacing w:line="560" w:lineRule="atLeast"/>
        <w:rPr>
          <w:rFonts w:ascii="仿宋" w:hAnsi="仿宋" w:eastAsia="仿宋" w:cs="仿宋"/>
          <w:sz w:val="32"/>
          <w:szCs w:val="32"/>
        </w:rPr>
      </w:pPr>
    </w:p>
    <w:p>
      <w:pPr>
        <w:spacing w:line="560" w:lineRule="atLeast"/>
        <w:rPr>
          <w:rFonts w:ascii="仿宋" w:hAnsi="仿宋" w:eastAsia="仿宋" w:cs="仿宋"/>
          <w:sz w:val="32"/>
          <w:szCs w:val="32"/>
        </w:rPr>
      </w:pPr>
    </w:p>
    <w:p>
      <w:pPr>
        <w:spacing w:line="560" w:lineRule="atLeast"/>
        <w:rPr>
          <w:rFonts w:ascii="仿宋" w:hAnsi="仿宋" w:eastAsia="仿宋" w:cs="仿宋"/>
          <w:sz w:val="32"/>
          <w:szCs w:val="32"/>
        </w:rPr>
      </w:pPr>
    </w:p>
    <w:p>
      <w:pPr>
        <w:spacing w:line="560" w:lineRule="atLeast"/>
        <w:rPr>
          <w:rFonts w:ascii="仿宋" w:hAnsi="仿宋" w:eastAsia="仿宋" w:cs="仿宋"/>
          <w:sz w:val="32"/>
          <w:szCs w:val="32"/>
        </w:rPr>
      </w:pPr>
    </w:p>
    <w:p>
      <w:pPr>
        <w:spacing w:line="560" w:lineRule="atLeast"/>
        <w:rPr>
          <w:rFonts w:ascii="仿宋" w:hAnsi="仿宋" w:eastAsia="仿宋" w:cs="仿宋"/>
          <w:sz w:val="32"/>
          <w:szCs w:val="32"/>
        </w:rPr>
      </w:pPr>
    </w:p>
    <w:p>
      <w:pPr>
        <w:spacing w:line="360" w:lineRule="exact"/>
        <w:rPr>
          <w:rFonts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exact"/>
      </w:pPr>
      <w:r>
        <w:rPr>
          <w:rFonts w:hint="eastAsia" w:ascii="仿宋" w:hAnsi="仿宋" w:eastAsia="仿宋" w:cs="仿宋"/>
          <w:sz w:val="32"/>
          <w:szCs w:val="32"/>
          <w:u w:val="single"/>
        </w:rPr>
        <w:t xml:space="preserve">  安徽审计职业学院办公室          2021年7月16日印发   </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8803762"/>
      <w:docPartObj>
        <w:docPartGallery w:val="AutoText"/>
      </w:docPartObj>
    </w:sdtPr>
    <w:sdtContent>
      <w:p>
        <w:pPr>
          <w:pStyle w:val="2"/>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
                          </w:pPr>
                          <w:r>
                            <w:fldChar w:fldCharType="begin"/>
                          </w:r>
                          <w:r>
                            <w:instrText xml:space="preserve"> PAGE  \* MERGEFORMAT </w:instrText>
                          </w:r>
                          <w:r>
                            <w:fldChar w:fldCharType="separate"/>
                          </w:r>
                          <w:r>
                            <w:t>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52E"/>
    <w:rsid w:val="0009412C"/>
    <w:rsid w:val="00397CE0"/>
    <w:rsid w:val="003A15D2"/>
    <w:rsid w:val="00542D15"/>
    <w:rsid w:val="00664D17"/>
    <w:rsid w:val="006D5642"/>
    <w:rsid w:val="006F252E"/>
    <w:rsid w:val="007D6DCD"/>
    <w:rsid w:val="008B0424"/>
    <w:rsid w:val="4B0B6702"/>
    <w:rsid w:val="7E00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458</Words>
  <Characters>2613</Characters>
  <Lines>21</Lines>
  <Paragraphs>6</Paragraphs>
  <TotalTime>73</TotalTime>
  <ScaleCrop>false</ScaleCrop>
  <LinksUpToDate>false</LinksUpToDate>
  <CharactersWithSpaces>3065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2021-07-19T01:01:00Z</dcterms:created>
  <dc:creator>许惠兰</dc:creator>
  <cp:lastModifiedBy>何方小仙1383218960</cp:lastModifiedBy>
  <dcterms:modified xsi:type="dcterms:W3CDTF">2021-11-10T07:54:35Z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F17529E2A5FA4DF29D347C10379A1535</vt:lpwstr>
  </property>
</Properties>
</file>