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z w:val="44"/>
          <w:szCs w:val="44"/>
        </w:rPr>
        <w:t>安徽审计职业学院关于联合培养专升本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授课教师课酬发放（工作量计算）暂行办法</w:t>
      </w:r>
    </w:p>
    <w:p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推进联合培养专升本的教学管理，强化师资队伍建设，提高人才培养质量，充分调动专升本授课教师的积极性和创造性，稳定教学秩序，提升教学质量，根据《安徽财经大学与安徽审计职业学院联合培养应用型人才实施方案》、《安徽财经大学与安徽审计职业学院联合培养应用型人才协议》等文件精神，结合我院联合培养工作实际，特制定本办法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一、教师课酬发放（工作量计算）标准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（一）安徽财经大学授课教师课酬发放标准（含交通、食宿费）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1.正高职称：200元/课时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2.副高职称：150元/课时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3.讲师职称：100元/课时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（二）我院授课教师工作量计算标准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我院教师工作量根据院内高职授课相应工作量计算标准乘以1.3系数。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（三）外聘教师课酬发放标准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1.正高职称：140元/课时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2.副高职称：120元/课时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二、专升本学生毕业论文指导费用发放标准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专升本学生毕业论文指导费：按每位学生800元计算。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三、教师课酬发放程序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教师课时（工作量）由相关系部按本办法汇总授课（工作量）时数，经系部负责人审批；教务处核算课时课酬（工作量）报送组织人事处汇总，经院领导审批后交至财务室发放。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本办法自2020年9月1月起执行，由教务处负责解释。</w:t>
      </w:r>
    </w:p>
    <w:sectPr>
      <w:footerReference r:id="rId3" w:type="default"/>
      <w:pgSz w:w="11906" w:h="16838"/>
      <w:pgMar w:top="2041" w:right="1474" w:bottom="1440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4781596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1F"/>
    <w:rsid w:val="002A1C1F"/>
    <w:rsid w:val="00590CD2"/>
    <w:rsid w:val="006C31CC"/>
    <w:rsid w:val="009C00CC"/>
    <w:rsid w:val="45A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等线" w:hAnsi="等线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等线" w:hAnsi="等线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122</Words>
  <Characters>696</Characters>
  <Lines>5</Lines>
  <Paragraphs>1</Paragraphs>
  <TotalTime>10</TotalTime>
  <ScaleCrop>false</ScaleCrop>
  <LinksUpToDate>false</LinksUpToDate>
  <CharactersWithSpaces>817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2021-01-22T07:15:00Z</dcterms:created>
  <dc:creator>许惠兰</dc:creator>
  <cp:lastModifiedBy>何方小仙1383218960</cp:lastModifiedBy>
  <dcterms:modified xsi:type="dcterms:W3CDTF">2021-11-10T07:54:30Z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8716C523E05B4C749F82B7DCFF35205E</vt:lpwstr>
  </property>
</Properties>
</file>